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AMAÇ</w:t>
      </w:r>
    </w:p>
    <w:p w:rsidR="00000000" w:rsidDel="00000000" w:rsidP="00000000" w:rsidRDefault="00000000" w:rsidRPr="00000000" w14:paraId="00000002">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Kurumumuz içinde bulunan proseslerden veya dış proseslerden kaynaklı tehlike ve risklerin belirlenerek risk yönetim planları oluşturulması ve TS ISO 9001:2015 standart şartları gereğince risk odaklı proses yaklaşımının anlaşılması ve benimsenmesiyle beraber akademik ve idari birimlerdeki kaliteyi artırmak, korumak, geliştirmek ve sürdürebilmek, yönetim planları hazırlamak ve tehditleri erken görerek olası iyileştirici faaliyetleri planlamak için gereken önleyici tedbirlerin risk gerçekleşmeden önce farkında olunmasını sağlamak ve alınan/alınacak tedbirleri hızlı şekilde değerlendirmek ve aynı süreçte olası fırsatların öngörülüp gerekli iyileştirmelerin belirlenmesi amacıyla yol ve yöntemlerin belirlenmesidir.</w:t>
      </w: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KAPSAM</w:t>
      </w:r>
    </w:p>
    <w:p w:rsidR="00000000" w:rsidDel="00000000" w:rsidP="00000000" w:rsidRDefault="00000000" w:rsidRPr="00000000" w14:paraId="00000004">
      <w:pPr>
        <w:jc w:val="both"/>
        <w:rPr>
          <w:rFonts w:ascii="Times New Roman" w:cs="Times New Roman" w:eastAsia="Times New Roman" w:hAnsi="Times New Roman"/>
          <w:b w:val="0"/>
          <w:color w:val="000000"/>
        </w:rPr>
      </w:pPr>
      <w:r w:rsidDel="00000000" w:rsidR="00000000" w:rsidRPr="00000000">
        <w:rPr>
          <w:rFonts w:ascii="Times New Roman" w:cs="Times New Roman" w:eastAsia="Times New Roman" w:hAnsi="Times New Roman"/>
          <w:color w:val="000000"/>
          <w:rtl w:val="0"/>
        </w:rPr>
        <w:t xml:space="preserve">Üniversitemizin vermekte olduğu eğitim-öğretim ve idari hizmetlerin tamamını; bina, çevre, araç, iç ve dış hususların tamamını kapsar.</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UYGULAMA ALANI</w:t>
      </w:r>
    </w:p>
    <w:p w:rsidR="00000000" w:rsidDel="00000000" w:rsidP="00000000" w:rsidRDefault="00000000" w:rsidRPr="00000000" w14:paraId="00000006">
      <w:pPr>
        <w:jc w:val="both"/>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Başkent Üniversitesi bünyesindeki tüm birimler uygulama alanına dâhildir. </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SORUMLULAR</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160" w:lineRule="auto"/>
        <w:jc w:val="both"/>
        <w:rPr>
          <w:rFonts w:ascii="Times New Roman" w:cs="Times New Roman" w:eastAsia="Times New Roman" w:hAnsi="Times New Roman"/>
          <w:b w:val="0"/>
          <w:color w:val="333333"/>
          <w:highlight w:val="white"/>
        </w:rPr>
      </w:pPr>
      <w:r w:rsidDel="00000000" w:rsidR="00000000" w:rsidRPr="00000000">
        <w:rPr>
          <w:rFonts w:ascii="Times New Roman" w:cs="Times New Roman" w:eastAsia="Times New Roman" w:hAnsi="Times New Roman"/>
          <w:highlight w:val="white"/>
          <w:rtl w:val="0"/>
        </w:rPr>
        <w:t xml:space="preserve">Bu prosedür, Kalite Koordinatörlüğü tarafından hazırlanır ve Kalite Koordinatörlüğü başta olmak üzere birim müdürleri, birimde görev yapan personel ve kalite yönetim sistemi kapsamında belirlenen proseslerin yürütüldüğü personel tarafından uygulanma sorumluluğu vardır. Bu prosedürün uygulanmasından ve sürdürülmesinden her birim sorumludur</w:t>
      </w:r>
      <w:r w:rsidDel="00000000" w:rsidR="00000000" w:rsidRPr="00000000">
        <w:rPr>
          <w:rFonts w:ascii="Times New Roman" w:cs="Times New Roman" w:eastAsia="Times New Roman" w:hAnsi="Times New Roman"/>
          <w:color w:val="333333"/>
          <w:highlight w:val="white"/>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TERİMLER VE TANIMLAR</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Etki: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Bir olayın meydana gelmesi halinde, hedef ve faaliyetler üzerinde yaratacağı sonucu,</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Fırsat: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Herhangi bir şey için en uygun zaman, durum ve ya şartların oluşması durumu</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Olasılık: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Bir olayın belirli bir zaman diliminde gerçekleşmesi durumunu,                                                     </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Risk: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Hedefler üzerinde etkisi olacak bir şeyin olma olasılığı başka bir deyişle, bir şeylerin yanlış gitme olasılığı,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Tehdit: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Riskin olumsuz yanları ve neden olabileceği olası kayıpları,</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İyileştirici faaliyet: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Riskin kalıcı olarak ortadan kaldırılması ve mümkün olan daha düşük olasılık veya etki alanına çekilmesi amacıyla devam eden çeşitli uygulama ve önlemlerin daha iyileştirilmesi çalışma ve hedeflerini ifade eder, bu zaten iyi yapılan bir uygulamanın çok daha iyi yapılmasını da kapsayabilir.</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Düzeltici faaliyet: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Tanımlanmış risk meydana geldiğinde o an için eldeki en iyi imkânlarla oluşan riskin etkilerinin engellenmesi, ortadan kaldırılması veya olumsuz çıktılarının en aza indirgenmesi amacıyla yapılacak çalışmalardır. Gerçekleşen her risk yeni bir fırsat ve iyileştirici faaliyet olarak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değerlendirilerek “sürekli iyileştirme” faaliyetlerine katkı sağlamaktadır.</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UYGULAMA DETAYI</w:t>
      </w:r>
    </w:p>
    <w:p w:rsidR="00000000" w:rsidDel="00000000" w:rsidP="00000000" w:rsidRDefault="00000000" w:rsidRPr="00000000" w14:paraId="00000013">
      <w:pPr>
        <w:numPr>
          <w:ilvl w:val="1"/>
          <w:numId w:val="1"/>
        </w:numPr>
        <w:pBdr>
          <w:top w:space="0" w:sz="0" w:val="nil"/>
          <w:left w:space="0" w:sz="0" w:val="nil"/>
          <w:bottom w:space="0" w:sz="0" w:val="nil"/>
          <w:right w:space="0" w:sz="0" w:val="nil"/>
          <w:between w:space="0" w:sz="0" w:val="nil"/>
        </w:pBdr>
        <w:ind w:left="432" w:hanging="432"/>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Risk ve Fırsatların Tespit Edilmesi </w:t>
      </w:r>
    </w:p>
    <w:p w:rsidR="00000000" w:rsidDel="00000000" w:rsidP="00000000" w:rsidRDefault="00000000" w:rsidRPr="00000000" w14:paraId="00000014">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Risklerin tanımlanması, risk kaynaklarının, olayların, bu olayların sebebi ve olabilecek sonuçlarının tespit edilmesini içerir. Risk ve fırsatların tespiti, kalite yönetim sistemi süreçlerinin etkin bir şekilde yönetilmesi, istenmeyen etkilerin önceden engellenmesi ya da en aza indirgenmesi ve sürekli iyileştirme çalışmalarının yürütülmesi açısından önemlidir.</w:t>
      </w:r>
    </w:p>
    <w:p w:rsidR="00000000" w:rsidDel="00000000" w:rsidP="00000000" w:rsidRDefault="00000000" w:rsidRPr="00000000" w14:paraId="00000015">
      <w:pPr>
        <w:numPr>
          <w:ilvl w:val="1"/>
          <w:numId w:val="1"/>
        </w:numPr>
        <w:pBdr>
          <w:top w:space="0" w:sz="0" w:val="nil"/>
          <w:left w:space="0" w:sz="0" w:val="nil"/>
          <w:bottom w:space="0" w:sz="0" w:val="nil"/>
          <w:right w:space="0" w:sz="0" w:val="nil"/>
          <w:between w:space="0" w:sz="0" w:val="nil"/>
        </w:pBdr>
        <w:ind w:left="432" w:hanging="43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Risk Değerlendirmesi</w:t>
      </w:r>
    </w:p>
    <w:p w:rsidR="00000000" w:rsidDel="00000000" w:rsidP="00000000" w:rsidRDefault="00000000" w:rsidRPr="00000000" w14:paraId="00000016">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Risk ve büyüklüğü kabul edilebilir olup olmadığını tespit etmek için risk analizi sonuçlarının risk kıstasları ile karşılaştırılma sürecidir. Risk değerlendirmesi, riskin değerlendirilmesi konusunda kararına yardımcı olur. Risklerin gerçekleşme olasılığı ve etki/şiddet hesaplanması ile her riskin risk büyüklüğü hesaplanır. Risk büyüklüklerine göre alınacak olan önlemler belirlenir.</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RİSKİN OLASILIĞI X RİSKİN ETKİSİ = RİSK PUANI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formülü kullanılmaktadır. Bununla birlikte birimlere göre farklılık gösteren derecelendirmelerde birim sorumluları farklı önceliğe sahip riskleri de renk sınıflarına müdahale ederek değiştirebilirler. </w:t>
      </w:r>
    </w:p>
    <w:p w:rsidR="00000000" w:rsidDel="00000000" w:rsidP="00000000" w:rsidRDefault="00000000" w:rsidRPr="00000000" w14:paraId="00000019">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u w:val="single"/>
          <w:rtl w:val="0"/>
        </w:rPr>
        <w:t xml:space="preserve">RİSKİN OLASILIĞI:</w:t>
      </w:r>
      <w:r w:rsidDel="00000000" w:rsidR="00000000" w:rsidRPr="00000000">
        <w:rPr>
          <w:rFonts w:ascii="Times New Roman" w:cs="Times New Roman" w:eastAsia="Times New Roman" w:hAnsi="Times New Roman"/>
          <w:color w:val="000000"/>
          <w:rtl w:val="0"/>
        </w:rPr>
        <w:t xml:space="preserve"> Belirlenen riskin 1 yıl içerisindeki tekrar etme olasılığı üzerinden yapılan 1-5 arasında değer alan puanlama sistemidir.</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RİSKİN ETKİSİ: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Riskin birimi ne ölçüde etkileyeceği, doğrudan mı/dolaylı yollardan mı kaliteye etkilerinin belirtildiği 1-5 puan arası değer alan puanlama sistemidir. </w:t>
      </w:r>
    </w:p>
    <w:p w:rsidR="00000000" w:rsidDel="00000000" w:rsidP="00000000" w:rsidRDefault="00000000" w:rsidRPr="00000000" w14:paraId="0000001B">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u w:val="single"/>
          <w:rtl w:val="0"/>
        </w:rPr>
        <w:t xml:space="preserve">RİSK PUANI:</w:t>
      </w:r>
      <w:r w:rsidDel="00000000" w:rsidR="00000000" w:rsidRPr="00000000">
        <w:rPr>
          <w:rFonts w:ascii="Times New Roman" w:cs="Times New Roman" w:eastAsia="Times New Roman" w:hAnsi="Times New Roman"/>
          <w:color w:val="000000"/>
          <w:rtl w:val="0"/>
        </w:rPr>
        <w:t xml:space="preserve"> Riskin derecesi ve periyodunun çarpımı sonucunda elde edilen ve riskin kurumumuz için tehlike sınıfını belirleyen sayıdır.</w:t>
        <w:tab/>
      </w:r>
    </w:p>
    <w:p w:rsidR="00000000" w:rsidDel="00000000" w:rsidP="00000000" w:rsidRDefault="00000000" w:rsidRPr="00000000" w14:paraId="0000001C">
      <w:pPr>
        <w:pBdr>
          <w:top w:space="0" w:sz="0" w:val="nil"/>
          <w:left w:space="0" w:sz="0" w:val="nil"/>
          <w:bottom w:space="0" w:sz="0" w:val="nil"/>
          <w:right w:space="0" w:sz="0" w:val="nil"/>
          <w:between w:space="0" w:sz="0" w:val="nil"/>
        </w:pBdr>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color w:val="000000"/>
          <w:u w:val="single"/>
          <w:rtl w:val="0"/>
        </w:rPr>
        <w:t xml:space="preserve">RİSK SINIFI:</w:t>
      </w:r>
      <w:r w:rsidDel="00000000" w:rsidR="00000000" w:rsidRPr="00000000">
        <w:rPr>
          <w:rFonts w:ascii="Times New Roman" w:cs="Times New Roman" w:eastAsia="Times New Roman" w:hAnsi="Times New Roman"/>
          <w:color w:val="000000"/>
          <w:rtl w:val="0"/>
        </w:rPr>
        <w:t xml:space="preserve"> Elde edilen risk puanlarını görsel olarak gösterme amaçlı oluşturulmuş </w:t>
      </w: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color w:val="000000"/>
          <w:rtl w:val="0"/>
        </w:rPr>
        <w:t xml:space="preserve"> renkten oluşan bir görsel anlatımdır.</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0070c0"/>
          <w:sz w:val="22"/>
          <w:szCs w:val="22"/>
          <w:u w:val="none"/>
          <w:shd w:fill="auto" w:val="clear"/>
          <w:vertAlign w:val="baseline"/>
          <w:rtl w:val="0"/>
        </w:rPr>
        <w:t xml:space="preserve">MAVİ RİSK DERECESİ:</w:t>
      </w:r>
      <w:r w:rsidDel="00000000" w:rsidR="00000000" w:rsidRPr="00000000">
        <w:rPr>
          <w:rFonts w:ascii="Times New Roman" w:cs="Times New Roman" w:eastAsia="Times New Roman" w:hAnsi="Times New Roman"/>
          <w:b w:val="0"/>
          <w:i w:val="0"/>
          <w:smallCaps w:val="0"/>
          <w:strike w:val="0"/>
          <w:color w:val="0070c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Herhangi bir yönetim gerektirmeyen önemsiz risklerin etkisini ifade eder. </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ffff00"/>
          <w:sz w:val="22"/>
          <w:szCs w:val="22"/>
          <w:u w:val="none"/>
          <w:shd w:fill="auto" w:val="clear"/>
          <w:vertAlign w:val="baseline"/>
          <w:rtl w:val="0"/>
        </w:rPr>
        <w:t xml:space="preserve">SARI RİSK DERECESİ:</w:t>
      </w:r>
      <w:r w:rsidDel="00000000" w:rsidR="00000000" w:rsidRPr="00000000">
        <w:rPr>
          <w:rFonts w:ascii="Times New Roman" w:cs="Times New Roman" w:eastAsia="Times New Roman" w:hAnsi="Times New Roman"/>
          <w:b w:val="0"/>
          <w:i w:val="0"/>
          <w:smallCaps w:val="0"/>
          <w:strike w:val="0"/>
          <w:color w:val="ffff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Kabul edilebilir, ilerlemesinin önlenmesi için alınacak risk sınıfını temsil eder. </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ffc000"/>
          <w:sz w:val="22"/>
          <w:szCs w:val="22"/>
          <w:u w:val="none"/>
          <w:shd w:fill="auto" w:val="clear"/>
          <w:vertAlign w:val="baseline"/>
          <w:rtl w:val="0"/>
        </w:rPr>
        <w:t xml:space="preserve">TURUNCU RİSK DERECESİ:</w:t>
      </w:r>
      <w:r w:rsidDel="00000000" w:rsidR="00000000" w:rsidRPr="00000000">
        <w:rPr>
          <w:rFonts w:ascii="Times New Roman" w:cs="Times New Roman" w:eastAsia="Times New Roman" w:hAnsi="Times New Roman"/>
          <w:b w:val="0"/>
          <w:i w:val="0"/>
          <w:smallCaps w:val="0"/>
          <w:strike w:val="0"/>
          <w:color w:val="ffc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Orta seviyede aciliyet ve önem gerektiren riskleri ifade eder</w:t>
      </w: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Times New Roman" w:cs="Times New Roman" w:eastAsia="Times New Roman" w:hAnsi="Times New Roman"/>
          <w:b w:val="0"/>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 xml:space="preserve">KIRMIZI RİSK DERECESİ:</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Yüksek önemdeki birincil riskleri ifade eder. Kabul edilemez ve acil müdahaleyi zorunlu kılar.</w:t>
      </w:r>
    </w:p>
    <w:p w:rsidR="00000000" w:rsidDel="00000000" w:rsidP="00000000" w:rsidRDefault="00000000" w:rsidRPr="00000000" w14:paraId="00000021">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Riskin etki derecesi </w:t>
      </w:r>
      <w:r w:rsidDel="00000000" w:rsidR="00000000" w:rsidRPr="00000000">
        <w:rPr>
          <w:rFonts w:ascii="Times New Roman" w:cs="Times New Roman" w:eastAsia="Times New Roman" w:hAnsi="Times New Roman"/>
          <w:b w:val="1"/>
          <w:color w:val="ff0000"/>
          <w:rtl w:val="0"/>
        </w:rPr>
        <w:t xml:space="preserve">5 puan</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color w:val="000000"/>
          <w:rtl w:val="0"/>
        </w:rPr>
        <w:t xml:space="preserve">ise bu durumda riskin periyoduna bakılmaksızın yönetim planlanmak zorundadır.</w:t>
      </w:r>
    </w:p>
    <w:p w:rsidR="00000000" w:rsidDel="00000000" w:rsidP="00000000" w:rsidRDefault="00000000" w:rsidRPr="00000000" w14:paraId="00000022">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u w:val="single"/>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Tablo 1. Olasılık Belirleme Tablosu</w:t>
      </w:r>
    </w:p>
    <w:tbl>
      <w:tblPr>
        <w:tblStyle w:val="Table1"/>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1843"/>
        <w:gridCol w:w="5239"/>
        <w:tblGridChange w:id="0">
          <w:tblGrid>
            <w:gridCol w:w="1980"/>
            <w:gridCol w:w="1843"/>
            <w:gridCol w:w="5239"/>
          </w:tblGrid>
        </w:tblGridChange>
      </w:tblGrid>
      <w:tr>
        <w:trPr>
          <w:cantSplit w:val="0"/>
          <w:tblHeader w:val="0"/>
        </w:trPr>
        <w:tc>
          <w:tcPr/>
          <w:p w:rsidR="00000000" w:rsidDel="00000000" w:rsidP="00000000" w:rsidRDefault="00000000" w:rsidRPr="00000000" w14:paraId="00000024">
            <w:pPr>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25">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OLASILIK</w:t>
            </w:r>
          </w:p>
          <w:p w:rsidR="00000000" w:rsidDel="00000000" w:rsidP="00000000" w:rsidRDefault="00000000" w:rsidRPr="00000000" w14:paraId="00000026">
            <w:pPr>
              <w:jc w:val="center"/>
              <w:rPr>
                <w:rFonts w:ascii="Times New Roman" w:cs="Times New Roman" w:eastAsia="Times New Roman" w:hAnsi="Times New Roman"/>
                <w:b w:val="1"/>
                <w:color w:val="000000"/>
              </w:rPr>
            </w:pPr>
            <w:r w:rsidDel="00000000" w:rsidR="00000000" w:rsidRPr="00000000">
              <w:rPr>
                <w:rtl w:val="0"/>
              </w:rPr>
            </w:r>
          </w:p>
        </w:tc>
        <w:tc>
          <w:tcPr/>
          <w:p w:rsidR="00000000" w:rsidDel="00000000" w:rsidP="00000000" w:rsidRDefault="00000000" w:rsidRPr="00000000" w14:paraId="00000027">
            <w:pPr>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28">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PUAN</w:t>
            </w:r>
          </w:p>
        </w:tc>
        <w:tc>
          <w:tcPr/>
          <w:p w:rsidR="00000000" w:rsidDel="00000000" w:rsidP="00000000" w:rsidRDefault="00000000" w:rsidRPr="00000000" w14:paraId="00000029">
            <w:pPr>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2A">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RİSKİN GERÇEKLEŞME SIKLIĞI</w:t>
            </w:r>
          </w:p>
        </w:tc>
      </w:tr>
      <w:tr>
        <w:trPr>
          <w:cantSplit w:val="0"/>
          <w:tblHeader w:val="0"/>
        </w:trPr>
        <w:tc>
          <w:tcPr/>
          <w:p w:rsidR="00000000" w:rsidDel="00000000" w:rsidP="00000000" w:rsidRDefault="00000000" w:rsidRPr="00000000" w14:paraId="0000002B">
            <w:pP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C">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Çok Düşük</w:t>
            </w:r>
          </w:p>
        </w:tc>
        <w:tc>
          <w:tcPr/>
          <w:p w:rsidR="00000000" w:rsidDel="00000000" w:rsidP="00000000" w:rsidRDefault="00000000" w:rsidRPr="00000000" w14:paraId="0000002D">
            <w:pP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E">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w:t>
            </w:r>
          </w:p>
        </w:tc>
        <w:tc>
          <w:tcPr/>
          <w:p w:rsidR="00000000" w:rsidDel="00000000" w:rsidP="00000000" w:rsidRDefault="00000000" w:rsidRPr="00000000" w14:paraId="0000002F">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Yılda en fazla 1 defa gerçekleşen risk ve uygunsuzluklar </w:t>
            </w:r>
          </w:p>
        </w:tc>
      </w:tr>
      <w:tr>
        <w:trPr>
          <w:cantSplit w:val="0"/>
          <w:tblHeader w:val="0"/>
        </w:trPr>
        <w:tc>
          <w:tcPr/>
          <w:p w:rsidR="00000000" w:rsidDel="00000000" w:rsidP="00000000" w:rsidRDefault="00000000" w:rsidRPr="00000000" w14:paraId="00000030">
            <w:pP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1">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Düşük</w:t>
            </w:r>
          </w:p>
        </w:tc>
        <w:tc>
          <w:tcPr/>
          <w:p w:rsidR="00000000" w:rsidDel="00000000" w:rsidP="00000000" w:rsidRDefault="00000000" w:rsidRPr="00000000" w14:paraId="00000032">
            <w:pP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3">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w:t>
            </w:r>
          </w:p>
        </w:tc>
        <w:tc>
          <w:tcPr/>
          <w:p w:rsidR="00000000" w:rsidDel="00000000" w:rsidP="00000000" w:rsidRDefault="00000000" w:rsidRPr="00000000" w14:paraId="00000034">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Yılda en fazla 2 defa gerçekleşen risk ve uygunsuzluklar </w:t>
            </w:r>
          </w:p>
        </w:tc>
      </w:tr>
      <w:tr>
        <w:trPr>
          <w:cantSplit w:val="0"/>
          <w:tblHeader w:val="0"/>
        </w:trPr>
        <w:tc>
          <w:tcPr/>
          <w:p w:rsidR="00000000" w:rsidDel="00000000" w:rsidP="00000000" w:rsidRDefault="00000000" w:rsidRPr="00000000" w14:paraId="00000035">
            <w:pP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6">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Orta</w:t>
            </w:r>
          </w:p>
        </w:tc>
        <w:tc>
          <w:tcPr/>
          <w:p w:rsidR="00000000" w:rsidDel="00000000" w:rsidP="00000000" w:rsidRDefault="00000000" w:rsidRPr="00000000" w14:paraId="00000037">
            <w:pP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8">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w:t>
            </w:r>
          </w:p>
        </w:tc>
        <w:tc>
          <w:tcPr/>
          <w:p w:rsidR="00000000" w:rsidDel="00000000" w:rsidP="00000000" w:rsidRDefault="00000000" w:rsidRPr="00000000" w14:paraId="00000039">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Yılda en fazla 3 defa gerçekleşen risk ve uygunsuzluklar </w:t>
            </w:r>
          </w:p>
        </w:tc>
      </w:tr>
      <w:tr>
        <w:trPr>
          <w:cantSplit w:val="0"/>
          <w:tblHeader w:val="0"/>
        </w:trPr>
        <w:tc>
          <w:tcPr/>
          <w:p w:rsidR="00000000" w:rsidDel="00000000" w:rsidP="00000000" w:rsidRDefault="00000000" w:rsidRPr="00000000" w14:paraId="0000003A">
            <w:pP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B">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Yüksek</w:t>
            </w:r>
          </w:p>
        </w:tc>
        <w:tc>
          <w:tcPr/>
          <w:p w:rsidR="00000000" w:rsidDel="00000000" w:rsidP="00000000" w:rsidRDefault="00000000" w:rsidRPr="00000000" w14:paraId="0000003C">
            <w:pP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D">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w:t>
            </w:r>
          </w:p>
        </w:tc>
        <w:tc>
          <w:tcPr/>
          <w:p w:rsidR="00000000" w:rsidDel="00000000" w:rsidP="00000000" w:rsidRDefault="00000000" w:rsidRPr="00000000" w14:paraId="0000003E">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Yılda en fazla 4 defa gerçekleşen risk ve uygunsuzluklar </w:t>
            </w:r>
          </w:p>
        </w:tc>
      </w:tr>
      <w:tr>
        <w:trPr>
          <w:cantSplit w:val="0"/>
          <w:tblHeader w:val="0"/>
        </w:trPr>
        <w:tc>
          <w:tcPr/>
          <w:p w:rsidR="00000000" w:rsidDel="00000000" w:rsidP="00000000" w:rsidRDefault="00000000" w:rsidRPr="00000000" w14:paraId="0000003F">
            <w:pP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0">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Çok Yüksek</w:t>
            </w:r>
          </w:p>
        </w:tc>
        <w:tc>
          <w:tcPr/>
          <w:p w:rsidR="00000000" w:rsidDel="00000000" w:rsidP="00000000" w:rsidRDefault="00000000" w:rsidRPr="00000000" w14:paraId="00000041">
            <w:pP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2">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w:t>
            </w:r>
          </w:p>
        </w:tc>
        <w:tc>
          <w:tcPr/>
          <w:p w:rsidR="00000000" w:rsidDel="00000000" w:rsidP="00000000" w:rsidRDefault="00000000" w:rsidRPr="00000000" w14:paraId="00000043">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Yılda en fazla 5 defa ve üzerinde tekrar eden risk ve uygunsuzluklar </w:t>
            </w:r>
          </w:p>
        </w:tc>
      </w:tr>
    </w:tbl>
    <w:p w:rsidR="00000000" w:rsidDel="00000000" w:rsidP="00000000" w:rsidRDefault="00000000" w:rsidRPr="00000000" w14:paraId="00000044">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u w:val="single"/>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Tablo 2. Riskin Etkisini Belirleme Tablosu</w:t>
      </w:r>
    </w:p>
    <w:tbl>
      <w:tblPr>
        <w:tblStyle w:val="Table2"/>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9"/>
        <w:gridCol w:w="7933"/>
        <w:tblGridChange w:id="0">
          <w:tblGrid>
            <w:gridCol w:w="1129"/>
            <w:gridCol w:w="7933"/>
          </w:tblGrid>
        </w:tblGridChange>
      </w:tblGrid>
      <w:tr>
        <w:trPr>
          <w:cantSplit w:val="0"/>
          <w:tblHeader w:val="0"/>
        </w:trPr>
        <w:tc>
          <w:tcPr/>
          <w:p w:rsidR="00000000" w:rsidDel="00000000" w:rsidP="00000000" w:rsidRDefault="00000000" w:rsidRPr="00000000" w14:paraId="00000046">
            <w:pPr>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47">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ŞİDDET</w:t>
            </w:r>
          </w:p>
        </w:tc>
        <w:tc>
          <w:tcPr/>
          <w:p w:rsidR="00000000" w:rsidDel="00000000" w:rsidP="00000000" w:rsidRDefault="00000000" w:rsidRPr="00000000" w14:paraId="00000048">
            <w:pPr>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49">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TANIM</w:t>
            </w:r>
          </w:p>
        </w:tc>
      </w:tr>
      <w:tr>
        <w:trPr>
          <w:cantSplit w:val="0"/>
          <w:tblHeader w:val="0"/>
        </w:trPr>
        <w:tc>
          <w:tcPr/>
          <w:p w:rsidR="00000000" w:rsidDel="00000000" w:rsidP="00000000" w:rsidRDefault="00000000" w:rsidRPr="00000000" w14:paraId="0000004A">
            <w:pPr>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4B">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w:t>
            </w:r>
          </w:p>
        </w:tc>
        <w:tc>
          <w:tcPr/>
          <w:p w:rsidR="00000000" w:rsidDel="00000000" w:rsidP="00000000" w:rsidRDefault="00000000" w:rsidRPr="00000000" w14:paraId="0000004C">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Herhangi bir yönetim gerektirmeyen önemsiz risklerin etkisini ifade eder. Proses ve bağlı prosesleri doğrudan veya dolaylı şekilde etkilemez.</w:t>
            </w:r>
          </w:p>
          <w:p w:rsidR="00000000" w:rsidDel="00000000" w:rsidP="00000000" w:rsidRDefault="00000000" w:rsidRPr="00000000" w14:paraId="0000004D">
            <w:pPr>
              <w:jc w:val="both"/>
              <w:rPr>
                <w:rFonts w:ascii="Times New Roman" w:cs="Times New Roman" w:eastAsia="Times New Roman" w:hAnsi="Times New Roman"/>
                <w:b w:val="1"/>
                <w:color w:val="000000"/>
                <w:u w:val="single"/>
              </w:rPr>
            </w:pPr>
            <w:r w:rsidDel="00000000" w:rsidR="00000000" w:rsidRPr="00000000">
              <w:rPr>
                <w:rtl w:val="0"/>
              </w:rPr>
            </w:r>
          </w:p>
        </w:tc>
      </w:tr>
      <w:tr>
        <w:trPr>
          <w:cantSplit w:val="0"/>
          <w:tblHeader w:val="0"/>
        </w:trPr>
        <w:tc>
          <w:tcPr/>
          <w:p w:rsidR="00000000" w:rsidDel="00000000" w:rsidP="00000000" w:rsidRDefault="00000000" w:rsidRPr="00000000" w14:paraId="0000004E">
            <w:pPr>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4F">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2</w:t>
            </w:r>
          </w:p>
        </w:tc>
        <w:tc>
          <w:tcPr/>
          <w:p w:rsidR="00000000" w:rsidDel="00000000" w:rsidP="00000000" w:rsidRDefault="00000000" w:rsidRPr="00000000" w14:paraId="00000050">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İlgili prosesi doğrudan etkilemeyen ancak dolaylı yoldan etkileyen risk şiddetini belirleyen risk şiddetidir.</w:t>
            </w:r>
          </w:p>
          <w:p w:rsidR="00000000" w:rsidDel="00000000" w:rsidP="00000000" w:rsidRDefault="00000000" w:rsidRPr="00000000" w14:paraId="00000051">
            <w:pPr>
              <w:jc w:val="both"/>
              <w:rPr>
                <w:rFonts w:ascii="Times New Roman" w:cs="Times New Roman" w:eastAsia="Times New Roman" w:hAnsi="Times New Roman"/>
                <w:b w:val="1"/>
                <w:color w:val="000000"/>
                <w:u w:val="single"/>
              </w:rPr>
            </w:pPr>
            <w:r w:rsidDel="00000000" w:rsidR="00000000" w:rsidRPr="00000000">
              <w:rPr>
                <w:rtl w:val="0"/>
              </w:rPr>
            </w:r>
          </w:p>
        </w:tc>
      </w:tr>
      <w:tr>
        <w:trPr>
          <w:cantSplit w:val="0"/>
          <w:tblHeader w:val="0"/>
        </w:trPr>
        <w:tc>
          <w:tcPr/>
          <w:p w:rsidR="00000000" w:rsidDel="00000000" w:rsidP="00000000" w:rsidRDefault="00000000" w:rsidRPr="00000000" w14:paraId="00000052">
            <w:pPr>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53">
            <w:pPr>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54">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3</w:t>
            </w:r>
          </w:p>
        </w:tc>
        <w:tc>
          <w:tcPr/>
          <w:p w:rsidR="00000000" w:rsidDel="00000000" w:rsidP="00000000" w:rsidRDefault="00000000" w:rsidRPr="00000000" w14:paraId="00000055">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Mutlaka izlenmesi ve kontrol altında tutulması gereken doğrudan ya da dolaylı yollardan prosesin işleyişini her an aksatabilecek TEHDİT düzeyindeki risk şiddetidir. Kontrol altında tutulup izlenmesi gerekmekle birlikte gerekiyorsa yönetim planı geliştirilir.</w:t>
            </w:r>
          </w:p>
          <w:p w:rsidR="00000000" w:rsidDel="00000000" w:rsidP="00000000" w:rsidRDefault="00000000" w:rsidRPr="00000000" w14:paraId="00000056">
            <w:pPr>
              <w:jc w:val="both"/>
              <w:rPr>
                <w:rFonts w:ascii="Times New Roman" w:cs="Times New Roman" w:eastAsia="Times New Roman" w:hAnsi="Times New Roman"/>
                <w:b w:val="1"/>
                <w:color w:val="000000"/>
                <w:u w:val="single"/>
              </w:rPr>
            </w:pPr>
            <w:r w:rsidDel="00000000" w:rsidR="00000000" w:rsidRPr="00000000">
              <w:rPr>
                <w:rtl w:val="0"/>
              </w:rPr>
            </w:r>
          </w:p>
        </w:tc>
      </w:tr>
      <w:tr>
        <w:trPr>
          <w:cantSplit w:val="0"/>
          <w:tblHeader w:val="0"/>
        </w:trPr>
        <w:tc>
          <w:tcPr/>
          <w:p w:rsidR="00000000" w:rsidDel="00000000" w:rsidP="00000000" w:rsidRDefault="00000000" w:rsidRPr="00000000" w14:paraId="00000057">
            <w:pPr>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58">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4</w:t>
            </w:r>
          </w:p>
        </w:tc>
        <w:tc>
          <w:tcPr/>
          <w:p w:rsidR="00000000" w:rsidDel="00000000" w:rsidP="00000000" w:rsidRDefault="00000000" w:rsidRPr="00000000" w14:paraId="00000059">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Mutlaka yönetim alınmasını gerektiren proses süreçlerinin en az %30 ve üzerinde seviyede işlerini aksatan hatta durma noktasına getiren doğrudan veya dolaylı risklerdir.</w:t>
            </w:r>
          </w:p>
          <w:p w:rsidR="00000000" w:rsidDel="00000000" w:rsidP="00000000" w:rsidRDefault="00000000" w:rsidRPr="00000000" w14:paraId="0000005A">
            <w:pPr>
              <w:jc w:val="both"/>
              <w:rPr>
                <w:rFonts w:ascii="Times New Roman" w:cs="Times New Roman" w:eastAsia="Times New Roman" w:hAnsi="Times New Roman"/>
                <w:b w:val="1"/>
                <w:color w:val="000000"/>
                <w:u w:val="single"/>
              </w:rPr>
            </w:pPr>
            <w:r w:rsidDel="00000000" w:rsidR="00000000" w:rsidRPr="00000000">
              <w:rPr>
                <w:rtl w:val="0"/>
              </w:rPr>
            </w:r>
          </w:p>
        </w:tc>
      </w:tr>
      <w:tr>
        <w:trPr>
          <w:cantSplit w:val="0"/>
          <w:tblHeader w:val="0"/>
        </w:trPr>
        <w:tc>
          <w:tcPr/>
          <w:p w:rsidR="00000000" w:rsidDel="00000000" w:rsidP="00000000" w:rsidRDefault="00000000" w:rsidRPr="00000000" w14:paraId="0000005B">
            <w:pPr>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5C">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5</w:t>
            </w:r>
          </w:p>
        </w:tc>
        <w:tc>
          <w:tcPr/>
          <w:p w:rsidR="00000000" w:rsidDel="00000000" w:rsidP="00000000" w:rsidRDefault="00000000" w:rsidRPr="00000000" w14:paraId="0000005D">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Kesinlikle ve acil olarak müdahale gerektiren risk şiddetidir. Proses ve süreçlerin işleyişini %80 ve üzerinde seviyede engelleyen gerçekleşmesi kabul edilemez risk puanıdır.</w:t>
            </w:r>
          </w:p>
          <w:p w:rsidR="00000000" w:rsidDel="00000000" w:rsidP="00000000" w:rsidRDefault="00000000" w:rsidRPr="00000000" w14:paraId="0000005E">
            <w:pPr>
              <w:jc w:val="both"/>
              <w:rPr>
                <w:rFonts w:ascii="Times New Roman" w:cs="Times New Roman" w:eastAsia="Times New Roman" w:hAnsi="Times New Roman"/>
                <w:b w:val="1"/>
                <w:color w:val="000000"/>
                <w:u w:val="single"/>
              </w:rPr>
            </w:pPr>
            <w:r w:rsidDel="00000000" w:rsidR="00000000" w:rsidRPr="00000000">
              <w:rPr>
                <w:rtl w:val="0"/>
              </w:rPr>
            </w:r>
          </w:p>
        </w:tc>
      </w:tr>
    </w:tbl>
    <w:p w:rsidR="00000000" w:rsidDel="00000000" w:rsidP="00000000" w:rsidRDefault="00000000" w:rsidRPr="00000000" w14:paraId="0000005F">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u w:val="single"/>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u w:val="single"/>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u w:val="single"/>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u w:val="single"/>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u w:val="single"/>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Tablo 3. Risk Puanı Değerlendirme Tablosu</w:t>
      </w:r>
    </w:p>
    <w:tbl>
      <w:tblPr>
        <w:tblStyle w:val="Table3"/>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1843"/>
        <w:gridCol w:w="5239"/>
        <w:tblGridChange w:id="0">
          <w:tblGrid>
            <w:gridCol w:w="1980"/>
            <w:gridCol w:w="1843"/>
            <w:gridCol w:w="5239"/>
          </w:tblGrid>
        </w:tblGridChange>
      </w:tblGrid>
      <w:tr>
        <w:trPr>
          <w:cantSplit w:val="0"/>
          <w:tblHeader w:val="0"/>
        </w:trPr>
        <w:tc>
          <w:tcPr/>
          <w:p w:rsidR="00000000" w:rsidDel="00000000" w:rsidP="00000000" w:rsidRDefault="00000000" w:rsidRPr="00000000" w14:paraId="00000065">
            <w:pPr>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66">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RİSK PUANI</w:t>
            </w:r>
          </w:p>
          <w:p w:rsidR="00000000" w:rsidDel="00000000" w:rsidP="00000000" w:rsidRDefault="00000000" w:rsidRPr="00000000" w14:paraId="00000067">
            <w:pPr>
              <w:jc w:val="center"/>
              <w:rPr>
                <w:rFonts w:ascii="Times New Roman" w:cs="Times New Roman" w:eastAsia="Times New Roman" w:hAnsi="Times New Roman"/>
                <w:b w:val="1"/>
                <w:color w:val="000000"/>
              </w:rPr>
            </w:pPr>
            <w:r w:rsidDel="00000000" w:rsidR="00000000" w:rsidRPr="00000000">
              <w:rPr>
                <w:rtl w:val="0"/>
              </w:rPr>
            </w:r>
          </w:p>
        </w:tc>
        <w:tc>
          <w:tcPr/>
          <w:p w:rsidR="00000000" w:rsidDel="00000000" w:rsidP="00000000" w:rsidRDefault="00000000" w:rsidRPr="00000000" w14:paraId="00000068">
            <w:pPr>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69">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ÖNEM</w:t>
            </w:r>
          </w:p>
        </w:tc>
        <w:tc>
          <w:tcPr/>
          <w:p w:rsidR="00000000" w:rsidDel="00000000" w:rsidP="00000000" w:rsidRDefault="00000000" w:rsidRPr="00000000" w14:paraId="0000006A">
            <w:pPr>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6B">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GERÇEKLEŞTİRİLECEK EYLEM</w:t>
            </w:r>
          </w:p>
          <w:p w:rsidR="00000000" w:rsidDel="00000000" w:rsidP="00000000" w:rsidRDefault="00000000" w:rsidRPr="00000000" w14:paraId="0000006C">
            <w:pPr>
              <w:jc w:val="center"/>
              <w:rPr>
                <w:rFonts w:ascii="Times New Roman" w:cs="Times New Roman" w:eastAsia="Times New Roman" w:hAnsi="Times New Roman"/>
                <w:b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6D">
            <w:pP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E">
            <w:pPr>
              <w:jc w:val="center"/>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20-25 Arası</w:t>
            </w:r>
          </w:p>
          <w:p w:rsidR="00000000" w:rsidDel="00000000" w:rsidP="00000000" w:rsidRDefault="00000000" w:rsidRPr="00000000" w14:paraId="0000006F">
            <w:pPr>
              <w:jc w:val="center"/>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70">
            <w:pP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1">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Acil Eylem</w:t>
            </w:r>
          </w:p>
        </w:tc>
        <w:tc>
          <w:tcPr/>
          <w:p w:rsidR="00000000" w:rsidDel="00000000" w:rsidP="00000000" w:rsidRDefault="00000000" w:rsidRPr="00000000" w14:paraId="00000072">
            <w:pPr>
              <w:jc w:val="both"/>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color w:val="000000"/>
                <w:rtl w:val="0"/>
              </w:rPr>
              <w:t xml:space="preserve">Bu sınıftaki riskler Acil Eylem gerektiren ve alınacak önleyici faaliyetlerle mutlaka kabul edilebilir risk puan sınırına çekilmelidir.</w:t>
            </w:r>
            <w:r w:rsidDel="00000000" w:rsidR="00000000" w:rsidRPr="00000000">
              <w:rPr>
                <w:rtl w:val="0"/>
              </w:rPr>
            </w:r>
          </w:p>
        </w:tc>
      </w:tr>
      <w:tr>
        <w:trPr>
          <w:cantSplit w:val="0"/>
          <w:tblHeader w:val="0"/>
        </w:trPr>
        <w:tc>
          <w:tcPr/>
          <w:p w:rsidR="00000000" w:rsidDel="00000000" w:rsidP="00000000" w:rsidRDefault="00000000" w:rsidRPr="00000000" w14:paraId="00000073">
            <w:pP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4">
            <w:pPr>
              <w:jc w:val="center"/>
              <w:rPr>
                <w:rFonts w:ascii="Times New Roman" w:cs="Times New Roman" w:eastAsia="Times New Roman" w:hAnsi="Times New Roman"/>
                <w:b w:val="1"/>
                <w:color w:val="ffc000"/>
              </w:rPr>
            </w:pPr>
            <w:r w:rsidDel="00000000" w:rsidR="00000000" w:rsidRPr="00000000">
              <w:rPr>
                <w:rFonts w:ascii="Times New Roman" w:cs="Times New Roman" w:eastAsia="Times New Roman" w:hAnsi="Times New Roman"/>
                <w:b w:val="1"/>
                <w:color w:val="ffc000"/>
                <w:rtl w:val="0"/>
              </w:rPr>
              <w:t xml:space="preserve">11-19 Arası</w:t>
            </w:r>
          </w:p>
          <w:p w:rsidR="00000000" w:rsidDel="00000000" w:rsidP="00000000" w:rsidRDefault="00000000" w:rsidRPr="00000000" w14:paraId="00000075">
            <w:pPr>
              <w:jc w:val="center"/>
              <w:rPr>
                <w:rFonts w:ascii="Times New Roman" w:cs="Times New Roman" w:eastAsia="Times New Roman" w:hAnsi="Times New Roman"/>
                <w:color w:val="000000"/>
              </w:rPr>
            </w:pPr>
            <w:bookmarkStart w:colFirst="0" w:colLast="0" w:name="_heading=h.1fob9te" w:id="0"/>
            <w:bookmarkEnd w:id="0"/>
            <w:r w:rsidDel="00000000" w:rsidR="00000000" w:rsidRPr="00000000">
              <w:rPr>
                <w:rtl w:val="0"/>
              </w:rPr>
            </w:r>
          </w:p>
        </w:tc>
        <w:tc>
          <w:tcPr/>
          <w:p w:rsidR="00000000" w:rsidDel="00000000" w:rsidP="00000000" w:rsidRDefault="00000000" w:rsidRPr="00000000" w14:paraId="00000076">
            <w:pP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7">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Önemli</w:t>
            </w:r>
          </w:p>
          <w:p w:rsidR="00000000" w:rsidDel="00000000" w:rsidP="00000000" w:rsidRDefault="00000000" w:rsidRPr="00000000" w14:paraId="00000078">
            <w:pPr>
              <w:jc w:val="center"/>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79">
            <w:pPr>
              <w:jc w:val="both"/>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color w:val="000000"/>
                <w:rtl w:val="0"/>
              </w:rPr>
              <w:t xml:space="preserve">Hemen düzeltici faaliyet ve risk belirleme çalışması başlatılarak riskin kabul edilebilir puana indirilmesi gereklidir.</w:t>
            </w:r>
            <w:r w:rsidDel="00000000" w:rsidR="00000000" w:rsidRPr="00000000">
              <w:rPr>
                <w:rtl w:val="0"/>
              </w:rPr>
            </w:r>
          </w:p>
        </w:tc>
      </w:tr>
      <w:tr>
        <w:trPr>
          <w:cantSplit w:val="0"/>
          <w:tblHeader w:val="0"/>
        </w:trPr>
        <w:tc>
          <w:tcPr/>
          <w:p w:rsidR="00000000" w:rsidDel="00000000" w:rsidP="00000000" w:rsidRDefault="00000000" w:rsidRPr="00000000" w14:paraId="0000007A">
            <w:pP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B">
            <w:pPr>
              <w:jc w:val="center"/>
              <w:rPr>
                <w:rFonts w:ascii="Times New Roman" w:cs="Times New Roman" w:eastAsia="Times New Roman" w:hAnsi="Times New Roman"/>
                <w:b w:val="1"/>
                <w:color w:val="e4d900"/>
              </w:rPr>
            </w:pPr>
            <w:r w:rsidDel="00000000" w:rsidR="00000000" w:rsidRPr="00000000">
              <w:rPr>
                <w:rFonts w:ascii="Times New Roman" w:cs="Times New Roman" w:eastAsia="Times New Roman" w:hAnsi="Times New Roman"/>
                <w:b w:val="1"/>
                <w:color w:val="e4d900"/>
                <w:rtl w:val="0"/>
              </w:rPr>
              <w:t xml:space="preserve">6-10 Arası</w:t>
            </w:r>
          </w:p>
          <w:p w:rsidR="00000000" w:rsidDel="00000000" w:rsidP="00000000" w:rsidRDefault="00000000" w:rsidRPr="00000000" w14:paraId="0000007C">
            <w:pPr>
              <w:jc w:val="center"/>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7D">
            <w:pP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E">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Kabul Edilebilir</w:t>
            </w:r>
          </w:p>
        </w:tc>
        <w:tc>
          <w:tcPr/>
          <w:p w:rsidR="00000000" w:rsidDel="00000000" w:rsidP="00000000" w:rsidRDefault="00000000" w:rsidRPr="00000000" w14:paraId="0000007F">
            <w:pPr>
              <w:jc w:val="both"/>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color w:val="000000"/>
                <w:rtl w:val="0"/>
              </w:rPr>
              <w:t xml:space="preserve">Riskin kontrol altına alındığını gösteren gerçekleştirilen yönetim sonrasında Acil Eylem ve Önemli risk değerlendirmesinden Kabul Edilebilir sınırına gelmesi gereken seviyedir.</w:t>
            </w:r>
            <w:r w:rsidDel="00000000" w:rsidR="00000000" w:rsidRPr="00000000">
              <w:rPr>
                <w:rtl w:val="0"/>
              </w:rPr>
            </w:r>
          </w:p>
        </w:tc>
      </w:tr>
      <w:tr>
        <w:trPr>
          <w:cantSplit w:val="0"/>
          <w:tblHeader w:val="0"/>
        </w:trPr>
        <w:tc>
          <w:tcPr/>
          <w:p w:rsidR="00000000" w:rsidDel="00000000" w:rsidP="00000000" w:rsidRDefault="00000000" w:rsidRPr="00000000" w14:paraId="00000080">
            <w:pP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1">
            <w:pPr>
              <w:jc w:val="center"/>
              <w:rPr>
                <w:rFonts w:ascii="Times New Roman" w:cs="Times New Roman" w:eastAsia="Times New Roman" w:hAnsi="Times New Roman"/>
                <w:b w:val="1"/>
                <w:color w:val="0070c0"/>
              </w:rPr>
            </w:pPr>
            <w:r w:rsidDel="00000000" w:rsidR="00000000" w:rsidRPr="00000000">
              <w:rPr>
                <w:rFonts w:ascii="Times New Roman" w:cs="Times New Roman" w:eastAsia="Times New Roman" w:hAnsi="Times New Roman"/>
                <w:b w:val="1"/>
                <w:color w:val="0070c0"/>
                <w:rtl w:val="0"/>
              </w:rPr>
              <w:t xml:space="preserve">0-5 Arası</w:t>
            </w:r>
          </w:p>
          <w:p w:rsidR="00000000" w:rsidDel="00000000" w:rsidP="00000000" w:rsidRDefault="00000000" w:rsidRPr="00000000" w14:paraId="00000082">
            <w:pPr>
              <w:jc w:val="center"/>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83">
            <w:pP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4">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Düşük</w:t>
            </w:r>
          </w:p>
        </w:tc>
        <w:tc>
          <w:tcPr/>
          <w:p w:rsidR="00000000" w:rsidDel="00000000" w:rsidP="00000000" w:rsidRDefault="00000000" w:rsidRPr="00000000" w14:paraId="00000085">
            <w:pPr>
              <w:jc w:val="both"/>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color w:val="000000"/>
                <w:rtl w:val="0"/>
              </w:rPr>
              <w:t xml:space="preserve">İşletmede gerçekleştirilen tüm yönetim planlarından sonra, sürekli iyileştirme ile birlikte tüm risk değerlendirmelerinin ulaşması istenen en değerli bölgeyi temsil eder.</w:t>
            </w:r>
            <w:r w:rsidDel="00000000" w:rsidR="00000000" w:rsidRPr="00000000">
              <w:rPr>
                <w:rtl w:val="0"/>
              </w:rPr>
            </w:r>
          </w:p>
        </w:tc>
      </w:tr>
    </w:tbl>
    <w:p w:rsidR="00000000" w:rsidDel="00000000" w:rsidP="00000000" w:rsidRDefault="00000000" w:rsidRPr="00000000" w14:paraId="00000086">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u w:val="singl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432" w:right="0" w:hanging="432"/>
        <w:jc w:val="both"/>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Risklerin Sıralanması </w:t>
      </w:r>
    </w:p>
    <w:p w:rsidR="00000000" w:rsidDel="00000000" w:rsidP="00000000" w:rsidRDefault="00000000" w:rsidRPr="00000000" w14:paraId="00000088">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Risk değerlendirilmesi ile ortaya çıkan puanlar, en yüksek puan başta olmak üzere önem sırasına konulur. Her bir birim, kendilerine göre risk seviyesini belirleyerek bu doğrultuda sıralama yapar. Riskler her zaman puan bazında değerlendirilmez. Yönetim, puanı düşük olsa bile, olasılığı çok düşük ancak etki alanı çok yüksek olan, yani hedefleri direkt etkileme olasılığı olan riskleri sıralamada en öne koyabilir. Risklerin sıralaması belirlendikten sonra, bu riskler için kararlar alınır ve uygulanacak eylemler belirlenir</w:t>
      </w:r>
      <w:r w:rsidDel="00000000" w:rsidR="00000000" w:rsidRPr="00000000">
        <w:rPr>
          <w:rFonts w:ascii="Times New Roman" w:cs="Times New Roman" w:eastAsia="Times New Roman" w:hAnsi="Times New Roman"/>
          <w:color w:val="ff0000"/>
          <w:rtl w:val="0"/>
        </w:rPr>
        <w:t xml:space="preserve">.</w:t>
      </w:r>
    </w:p>
    <w:p w:rsidR="00000000" w:rsidDel="00000000" w:rsidP="00000000" w:rsidRDefault="00000000" w:rsidRPr="00000000" w14:paraId="0000008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432" w:right="0" w:hanging="432"/>
        <w:jc w:val="both"/>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Risklere Yanıt Verilmesi  </w:t>
      </w:r>
    </w:p>
    <w:p w:rsidR="00000000" w:rsidDel="00000000" w:rsidP="00000000" w:rsidRDefault="00000000" w:rsidRPr="00000000" w14:paraId="0000008A">
      <w:pPr>
        <w:pBdr>
          <w:top w:space="0" w:sz="0" w:val="nil"/>
          <w:left w:space="0" w:sz="0" w:val="nil"/>
          <w:bottom w:space="0" w:sz="0" w:val="nil"/>
          <w:right w:space="0" w:sz="0" w:val="nil"/>
          <w:between w:space="0" w:sz="0" w:val="nil"/>
        </w:pBd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Risklere yanıt verme, idareler tarafından tespit edilen ve belirlenen risk seviyeleri çerçevesinde değerlendirilen riskle için gerçekleştirilecek tedbir ve eylemlerin oluşturulmasını içerir. Bu bağlamda, beklenilen tehditlerin azaltılması ya da meydana gelebilecek fırsatların değerlendirilmesi hedeflenir. Bununla beraber riskin olasılığını ve/veya etkisini azaltarak daha önce tespit edilen hedefe etkin bir şekilde ulaşmayı amaçlar.</w:t>
      </w:r>
    </w:p>
    <w:p w:rsidR="00000000" w:rsidDel="00000000" w:rsidP="00000000" w:rsidRDefault="00000000" w:rsidRPr="00000000" w14:paraId="0000008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432" w:right="0" w:hanging="4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Risklerin Analizi ve Raporlanması </w:t>
      </w:r>
      <w:r w:rsidDel="00000000" w:rsidR="00000000" w:rsidRPr="00000000">
        <w:rPr>
          <w:rtl w:val="0"/>
        </w:rPr>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Standart şartlar temel alındığında risk analiz ve değerlendirmesi yılda en az bir defa olarak yapılır. Zamanla ortamın dinamiklerinden kaynaklı değişkenlik ya da gerçekleştirilmesi düşünülen önlemler sonucunda risklerin olasılık-etki/şiddet düzeyinde farklılık gözlemlenebileceği bilinmektedir. Dinamik koşullar akabinde oluşabilecek yeni risk alanlarının ortaya çıkmasına sebep olabilir. Bu nedenle Başkent Üniversitesi, az tehlikeli iş kolunda bile belirlenen risklerin ve risk yönetim prosesinin bütünüyle değerlendirilmesi amacıyla yılda 1 defa iç tetkik aracılığıyla risk analizi yapar. Ortaya çıkan sonuçlar, Kalite Koordinatörlüğü Birimine sunularak, bu çalışmalar gerçekleştirilen koordinatörlük toplantısında rapor şeklinde sunulur.</w:t>
      </w:r>
    </w:p>
    <w:p w:rsidR="00000000" w:rsidDel="00000000" w:rsidP="00000000" w:rsidRDefault="00000000" w:rsidRPr="00000000" w14:paraId="0000008E">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u w:val="singl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432" w:right="0" w:hanging="432"/>
        <w:jc w:val="both"/>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Fırsatların Belirlenmesi  </w:t>
      </w:r>
    </w:p>
    <w:p w:rsidR="00000000" w:rsidDel="00000000" w:rsidP="00000000" w:rsidRDefault="00000000" w:rsidRPr="00000000" w14:paraId="00000090">
      <w:pPr>
        <w:pBdr>
          <w:top w:space="0" w:sz="0" w:val="nil"/>
          <w:left w:space="0" w:sz="0" w:val="nil"/>
          <w:bottom w:space="0" w:sz="0" w:val="nil"/>
          <w:right w:space="0" w:sz="0" w:val="nil"/>
          <w:between w:space="0" w:sz="0" w:val="nil"/>
        </w:pBdr>
        <w:jc w:val="both"/>
        <w:rPr>
          <w:rFonts w:ascii="Times New Roman" w:cs="Times New Roman" w:eastAsia="Times New Roman" w:hAnsi="Times New Roman"/>
          <w:b w:val="0"/>
          <w:color w:val="000000"/>
        </w:rPr>
      </w:pPr>
      <w:r w:rsidDel="00000000" w:rsidR="00000000" w:rsidRPr="00000000">
        <w:rPr>
          <w:rFonts w:ascii="Times New Roman" w:cs="Times New Roman" w:eastAsia="Times New Roman" w:hAnsi="Times New Roman"/>
          <w:color w:val="000000"/>
          <w:rtl w:val="0"/>
        </w:rPr>
        <w:t xml:space="preserve">Her birim risk değerlendirmesini gerçekleştirdiğinde olası risklerin getireceği fırsatlar da risk-fırsat-etki değerlendirme planında değerlendirilmektedir.</w:t>
      </w: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İLGİLİ DOKÜMANLAR</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432" w:right="0" w:hanging="432"/>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İç Kaynaklı Dokümanlar</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92"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Risk Yönetim Planı</w:t>
      </w:r>
    </w:p>
    <w:p w:rsidR="00000000" w:rsidDel="00000000" w:rsidP="00000000" w:rsidRDefault="00000000" w:rsidRPr="00000000" w14:paraId="00000096">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432" w:right="0" w:hanging="432"/>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Dış Kaynaklı Dokümanlar</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92"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TS EN ISO 9001:2015 Şartnamesi</w:t>
      </w:r>
    </w:p>
    <w:p w:rsidR="00000000" w:rsidDel="00000000" w:rsidP="00000000" w:rsidRDefault="00000000" w:rsidRPr="00000000" w14:paraId="0000009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TS EN ISO 9001:2015 Risk Tabanlı Proses Yönetimi Eğitimi</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C">
      <w:pPr>
        <w:ind w:left="360" w:firstLine="0"/>
        <w:rPr>
          <w:rFonts w:ascii="Times New Roman" w:cs="Times New Roman" w:eastAsia="Times New Roman" w:hAnsi="Times New Roman"/>
          <w:b w:val="1"/>
        </w:rPr>
      </w:pPr>
      <w:r w:rsidDel="00000000" w:rsidR="00000000" w:rsidRPr="00000000">
        <w:rPr>
          <w:rtl w:val="0"/>
        </w:rPr>
      </w:r>
    </w:p>
    <w:sectPr>
      <w:headerReference r:id="rId7" w:type="default"/>
      <w:footerReference r:id="rId8" w:type="default"/>
      <w:pgSz w:h="16838" w:w="11906" w:orient="portrait"/>
      <w:pgMar w:bottom="1417" w:top="1417" w:left="1417" w:right="1417" w:header="283" w:footer="28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tbl>
    <w:tblPr>
      <w:tblStyle w:val="Table5"/>
      <w:tblW w:w="10916.000000000002" w:type="dxa"/>
      <w:jc w:val="left"/>
      <w:tblInd w:w="-9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18"/>
      <w:gridCol w:w="3021"/>
      <w:gridCol w:w="3877"/>
      <w:tblGridChange w:id="0">
        <w:tblGrid>
          <w:gridCol w:w="4018"/>
          <w:gridCol w:w="3021"/>
          <w:gridCol w:w="3877"/>
        </w:tblGrid>
      </w:tblGridChange>
    </w:tblGrid>
    <w:tr>
      <w:trPr>
        <w:cantSplit w:val="0"/>
        <w:trHeight w:val="557" w:hRule="atLeast"/>
        <w:tblHeader w:val="0"/>
      </w:trPr>
      <w:tc>
        <w:tcPr/>
        <w:p w:rsidR="00000000" w:rsidDel="00000000" w:rsidP="00000000" w:rsidRDefault="00000000" w:rsidRPr="00000000" w14:paraId="000000B7">
          <w:pPr>
            <w:tabs>
              <w:tab w:val="center" w:leader="none" w:pos="4536"/>
              <w:tab w:val="right" w:leader="none" w:pos="9072"/>
            </w:tabs>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Hazırlayan</w:t>
          </w:r>
        </w:p>
        <w:p w:rsidR="00000000" w:rsidDel="00000000" w:rsidP="00000000" w:rsidRDefault="00000000" w:rsidRPr="00000000" w14:paraId="000000B8">
          <w:pPr>
            <w:tabs>
              <w:tab w:val="center" w:leader="none" w:pos="4536"/>
              <w:tab w:val="right" w:leader="none" w:pos="9072"/>
            </w:tabs>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Melek Melis SANDER</w:t>
          </w:r>
        </w:p>
        <w:p w:rsidR="00000000" w:rsidDel="00000000" w:rsidP="00000000" w:rsidRDefault="00000000" w:rsidRPr="00000000" w14:paraId="000000B9">
          <w:pPr>
            <w:tabs>
              <w:tab w:val="center" w:leader="none" w:pos="4536"/>
              <w:tab w:val="right" w:leader="none" w:pos="9072"/>
            </w:tabs>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Uzman</w:t>
          </w:r>
        </w:p>
        <w:p w:rsidR="00000000" w:rsidDel="00000000" w:rsidP="00000000" w:rsidRDefault="00000000" w:rsidRPr="00000000" w14:paraId="000000BA">
          <w:pPr>
            <w:tabs>
              <w:tab w:val="center" w:leader="none" w:pos="4536"/>
              <w:tab w:val="right" w:leader="none" w:pos="9072"/>
            </w:tabs>
            <w:jc w:val="cente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BB">
          <w:pPr>
            <w:tabs>
              <w:tab w:val="center" w:leader="none" w:pos="4536"/>
              <w:tab w:val="right" w:leader="none" w:pos="9072"/>
            </w:tabs>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Kontrol Eden</w:t>
          </w:r>
        </w:p>
        <w:p w:rsidR="00000000" w:rsidDel="00000000" w:rsidP="00000000" w:rsidRDefault="00000000" w:rsidRPr="00000000" w14:paraId="000000BC">
          <w:pPr>
            <w:tabs>
              <w:tab w:val="center" w:leader="none" w:pos="4536"/>
              <w:tab w:val="right" w:leader="none" w:pos="9072"/>
            </w:tabs>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Prof. Dr. Füsun EYİDOĞAN</w:t>
          </w:r>
        </w:p>
        <w:p w:rsidR="00000000" w:rsidDel="00000000" w:rsidP="00000000" w:rsidRDefault="00000000" w:rsidRPr="00000000" w14:paraId="000000BD">
          <w:pPr>
            <w:tabs>
              <w:tab w:val="center" w:leader="none" w:pos="4536"/>
              <w:tab w:val="right" w:leader="none" w:pos="9072"/>
            </w:tabs>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Koordinatör</w:t>
          </w:r>
        </w:p>
      </w:tc>
      <w:tc>
        <w:tcPr/>
        <w:p w:rsidR="00000000" w:rsidDel="00000000" w:rsidP="00000000" w:rsidRDefault="00000000" w:rsidRPr="00000000" w14:paraId="000000BE">
          <w:pPr>
            <w:tabs>
              <w:tab w:val="center" w:leader="none" w:pos="4536"/>
              <w:tab w:val="right" w:leader="none" w:pos="9072"/>
            </w:tabs>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Onaylayan</w:t>
          </w:r>
        </w:p>
        <w:p w:rsidR="00000000" w:rsidDel="00000000" w:rsidP="00000000" w:rsidRDefault="00000000" w:rsidRPr="00000000" w14:paraId="000000BF">
          <w:pPr>
            <w:tabs>
              <w:tab w:val="center" w:leader="none" w:pos="4536"/>
              <w:tab w:val="right" w:leader="none" w:pos="9072"/>
            </w:tabs>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Prof. Dr. Hakan ÖZKARDEŞ</w:t>
          </w:r>
        </w:p>
        <w:p w:rsidR="00000000" w:rsidDel="00000000" w:rsidP="00000000" w:rsidRDefault="00000000" w:rsidRPr="00000000" w14:paraId="000000C0">
          <w:pPr>
            <w:tabs>
              <w:tab w:val="center" w:leader="none" w:pos="4536"/>
              <w:tab w:val="right" w:leader="none" w:pos="9072"/>
            </w:tabs>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Rektör Vekili</w:t>
          </w:r>
        </w:p>
      </w:tc>
    </w:tr>
  </w:tbl>
  <w:p w:rsidR="00000000" w:rsidDel="00000000" w:rsidP="00000000" w:rsidRDefault="00000000" w:rsidRPr="00000000" w14:paraId="000000C1">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tl w:val="0"/>
      </w:rPr>
    </w:r>
  </w:p>
  <w:tbl>
    <w:tblPr>
      <w:tblStyle w:val="Table4"/>
      <w:tblW w:w="10868.999999999998"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97"/>
      <w:gridCol w:w="5999"/>
      <w:gridCol w:w="1935"/>
      <w:gridCol w:w="1638"/>
      <w:tblGridChange w:id="0">
        <w:tblGrid>
          <w:gridCol w:w="1297"/>
          <w:gridCol w:w="5999"/>
          <w:gridCol w:w="1935"/>
          <w:gridCol w:w="1638"/>
        </w:tblGrid>
      </w:tblGridChange>
    </w:tblGrid>
    <w:tr>
      <w:trPr>
        <w:cantSplit w:val="0"/>
        <w:trHeight w:val="153"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E">
          <w:pPr>
            <w:tabs>
              <w:tab w:val="center" w:leader="none" w:pos="4536"/>
              <w:tab w:val="right" w:leader="none" w:pos="9072"/>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Pr>
            <w:drawing>
              <wp:inline distB="0" distT="0" distL="0" distR="0">
                <wp:extent cx="647700" cy="561975"/>
                <wp:effectExtent b="0" l="0" r="0" t="0"/>
                <wp:docPr descr="logo-dikey" id="743948590" name="image1.jpg"/>
                <a:graphic>
                  <a:graphicData uri="http://schemas.openxmlformats.org/drawingml/2006/picture">
                    <pic:pic>
                      <pic:nvPicPr>
                        <pic:cNvPr descr="logo-dikey" id="0" name="image1.jpg"/>
                        <pic:cNvPicPr preferRelativeResize="0"/>
                      </pic:nvPicPr>
                      <pic:blipFill>
                        <a:blip r:embed="rId1"/>
                        <a:srcRect b="0" l="0" r="0" t="0"/>
                        <a:stretch>
                          <a:fillRect/>
                        </a:stretch>
                      </pic:blipFill>
                      <pic:spPr>
                        <a:xfrm>
                          <a:off x="0" y="0"/>
                          <a:ext cx="647700" cy="561975"/>
                        </a:xfrm>
                        <a:prstGeom prst="rect"/>
                        <a:ln/>
                      </pic:spPr>
                    </pic:pic>
                  </a:graphicData>
                </a:graphic>
              </wp:inline>
            </w:drawing>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tabs>
              <w:tab w:val="center" w:leader="none" w:pos="4536"/>
              <w:tab w:val="right" w:leader="none" w:pos="9072"/>
            </w:tabs>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0">
          <w:pPr>
            <w:tabs>
              <w:tab w:val="center" w:leader="none" w:pos="4536"/>
              <w:tab w:val="right" w:leader="none" w:pos="9072"/>
            </w:tabs>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1">
          <w:pPr>
            <w:tabs>
              <w:tab w:val="center" w:leader="none" w:pos="4536"/>
              <w:tab w:val="right" w:leader="none" w:pos="9072"/>
            </w:tabs>
            <w:jc w:val="center"/>
            <w:rPr>
              <w:rFonts w:ascii="Calibri" w:cs="Calibri" w:eastAsia="Calibri" w:hAnsi="Calibri"/>
              <w:b w:val="1"/>
              <w:color w:val="000000"/>
              <w:sz w:val="30"/>
              <w:szCs w:val="30"/>
            </w:rPr>
          </w:pPr>
          <w:r w:rsidDel="00000000" w:rsidR="00000000" w:rsidRPr="00000000">
            <w:rPr>
              <w:rFonts w:ascii="Calibri" w:cs="Calibri" w:eastAsia="Calibri" w:hAnsi="Calibri"/>
              <w:b w:val="1"/>
              <w:color w:val="000000"/>
              <w:sz w:val="30"/>
              <w:szCs w:val="30"/>
              <w:rtl w:val="0"/>
            </w:rPr>
            <w:t xml:space="preserve">RİSK VE FIRSATLAR PROSEDÜRÜ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tabs>
              <w:tab w:val="center" w:leader="none" w:pos="4536"/>
              <w:tab w:val="right" w:leader="none" w:pos="9072"/>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Doküman 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tabs>
              <w:tab w:val="center" w:leader="none" w:pos="4536"/>
              <w:tab w:val="right" w:leader="none" w:pos="9072"/>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BÜ.PRSD.001</w:t>
          </w:r>
        </w:p>
      </w:tc>
    </w:tr>
    <w:tr>
      <w:trPr>
        <w:cantSplit w:val="0"/>
        <w:trHeight w:val="16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tabs>
              <w:tab w:val="center" w:leader="none" w:pos="4536"/>
              <w:tab w:val="right" w:leader="none" w:pos="9072"/>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Yayın Tarihi: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tabs>
              <w:tab w:val="center" w:leader="none" w:pos="4536"/>
              <w:tab w:val="right" w:leader="none" w:pos="9072"/>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06.01.2023</w:t>
          </w:r>
        </w:p>
      </w:tc>
    </w:tr>
    <w:tr>
      <w:trPr>
        <w:cantSplit w:val="0"/>
        <w:trHeight w:val="168"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tabs>
              <w:tab w:val="center" w:leader="none" w:pos="4536"/>
              <w:tab w:val="right" w:leader="none" w:pos="9072"/>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Revizyon Tarihi: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tabs>
              <w:tab w:val="center" w:leader="none" w:pos="4536"/>
              <w:tab w:val="right" w:leader="none" w:pos="9072"/>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00.00.0000</w:t>
          </w:r>
        </w:p>
      </w:tc>
    </w:tr>
    <w:tr>
      <w:trPr>
        <w:cantSplit w:val="0"/>
        <w:trHeight w:val="168"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tabs>
              <w:tab w:val="center" w:leader="none" w:pos="4536"/>
              <w:tab w:val="right" w:leader="none" w:pos="907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Revizyon 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tabs>
              <w:tab w:val="center" w:leader="none" w:pos="4536"/>
              <w:tab w:val="right" w:leader="none" w:pos="907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0</w:t>
          </w:r>
          <w:r w:rsidDel="00000000" w:rsidR="00000000" w:rsidRPr="00000000">
            <w:rPr>
              <w:rtl w:val="0"/>
            </w:rPr>
          </w:r>
        </w:p>
      </w:tc>
    </w:tr>
    <w:tr>
      <w:trPr>
        <w:cantSplit w:val="0"/>
        <w:trHeight w:val="16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tabs>
              <w:tab w:val="center" w:leader="none" w:pos="4536"/>
              <w:tab w:val="right" w:leader="none" w:pos="9072"/>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Sayfa: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tabs>
              <w:tab w:val="center" w:leader="none" w:pos="4536"/>
              <w:tab w:val="right" w:leader="none" w:pos="9072"/>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color w:val="000000"/>
              <w:sz w:val="24"/>
              <w:szCs w:val="24"/>
              <w:rtl w:val="0"/>
            </w:rPr>
            <w:t xml:space="preserve"> / </w:t>
          </w:r>
          <w:r w:rsidDel="00000000" w:rsidR="00000000" w:rsidRPr="00000000">
            <w:rPr>
              <w:rFonts w:ascii="Times New Roman" w:cs="Times New Roman" w:eastAsia="Times New Roman" w:hAnsi="Times New Roman"/>
              <w:sz w:val="24"/>
              <w:szCs w:val="24"/>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B4">
    <w:pPr>
      <w:tabs>
        <w:tab w:val="center" w:leader="none" w:pos="4536"/>
        <w:tab w:val="right" w:leader="none" w:pos="9072"/>
      </w:tabs>
      <w:spacing w:after="0" w:line="240" w:lineRule="auto"/>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1.%2."/>
      <w:lvlJc w:val="left"/>
      <w:pPr>
        <w:ind w:left="432" w:hanging="432"/>
      </w:pPr>
      <w:rPr>
        <w:b w:val="1"/>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84FC0"/>
    <w:rPr>
      <w:rFonts w:cs="Times New Roman"/>
    </w:rPr>
  </w:style>
  <w:style w:type="paragraph" w:styleId="Balk1">
    <w:name w:val="heading 1"/>
    <w:basedOn w:val="Normal"/>
    <w:next w:val="Normal"/>
    <w:pPr>
      <w:keepNext w:val="1"/>
      <w:keepLines w:val="1"/>
      <w:spacing w:after="120" w:before="480"/>
      <w:outlineLvl w:val="0"/>
    </w:pPr>
    <w:rPr>
      <w:b w:val="1"/>
      <w:sz w:val="48"/>
      <w:szCs w:val="48"/>
    </w:rPr>
  </w:style>
  <w:style w:type="paragraph" w:styleId="Balk2">
    <w:name w:val="heading 2"/>
    <w:basedOn w:val="Normal"/>
    <w:next w:val="Normal"/>
    <w:pPr>
      <w:keepNext w:val="1"/>
      <w:keepLines w:val="1"/>
      <w:spacing w:after="80" w:before="360"/>
      <w:outlineLvl w:val="1"/>
    </w:pPr>
    <w:rPr>
      <w:b w:val="1"/>
      <w:sz w:val="36"/>
      <w:szCs w:val="36"/>
    </w:rPr>
  </w:style>
  <w:style w:type="paragraph" w:styleId="Balk3">
    <w:name w:val="heading 3"/>
    <w:basedOn w:val="Normal"/>
    <w:next w:val="Normal"/>
    <w:pPr>
      <w:keepNext w:val="1"/>
      <w:keepLines w:val="1"/>
      <w:spacing w:after="80" w:before="280"/>
      <w:outlineLvl w:val="2"/>
    </w:pPr>
    <w:rPr>
      <w:b w:val="1"/>
      <w:sz w:val="28"/>
      <w:szCs w:val="28"/>
    </w:rPr>
  </w:style>
  <w:style w:type="paragraph" w:styleId="Balk4">
    <w:name w:val="heading 4"/>
    <w:basedOn w:val="Normal"/>
    <w:next w:val="Normal"/>
    <w:pPr>
      <w:keepNext w:val="1"/>
      <w:keepLines w:val="1"/>
      <w:spacing w:after="40" w:before="240"/>
      <w:outlineLvl w:val="3"/>
    </w:pPr>
    <w:rPr>
      <w:b w:val="1"/>
      <w:sz w:val="24"/>
      <w:szCs w:val="24"/>
    </w:rPr>
  </w:style>
  <w:style w:type="paragraph" w:styleId="Balk5">
    <w:name w:val="heading 5"/>
    <w:basedOn w:val="Normal"/>
    <w:next w:val="Normal"/>
    <w:pPr>
      <w:keepNext w:val="1"/>
      <w:keepLines w:val="1"/>
      <w:spacing w:after="40" w:before="220"/>
      <w:outlineLvl w:val="4"/>
    </w:pPr>
    <w:rPr>
      <w:b w:val="1"/>
    </w:rPr>
  </w:style>
  <w:style w:type="paragraph" w:styleId="Balk6">
    <w:name w:val="heading 6"/>
    <w:basedOn w:val="Normal"/>
    <w:next w:val="Normal"/>
    <w:pPr>
      <w:keepNext w:val="1"/>
      <w:keepLines w:val="1"/>
      <w:spacing w:after="40" w:before="200"/>
      <w:outlineLvl w:val="5"/>
    </w:pPr>
    <w:rPr>
      <w:b w:val="1"/>
      <w:sz w:val="20"/>
      <w:szCs w:val="20"/>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KonuBal">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ListeParagraf">
    <w:name w:val="List Paragraph"/>
    <w:basedOn w:val="Normal"/>
    <w:uiPriority w:val="34"/>
    <w:qFormat w:val="1"/>
    <w:rsid w:val="00684FC0"/>
    <w:pPr>
      <w:ind w:left="720"/>
      <w:contextualSpacing w:val="1"/>
    </w:pPr>
  </w:style>
  <w:style w:type="character" w:styleId="Kpr">
    <w:name w:val="Hyperlink"/>
    <w:basedOn w:val="VarsaylanParagrafYazTipi"/>
    <w:uiPriority w:val="99"/>
    <w:unhideWhenUsed w:val="1"/>
    <w:rsid w:val="00DF7344"/>
    <w:rPr>
      <w:color w:val="0000ff"/>
      <w:u w:val="single"/>
    </w:rPr>
  </w:style>
  <w:style w:type="paragraph" w:styleId="GvdeMetni">
    <w:name w:val="Body Text"/>
    <w:basedOn w:val="Normal"/>
    <w:link w:val="GvdeMetniChar"/>
    <w:uiPriority w:val="99"/>
    <w:semiHidden w:val="1"/>
    <w:unhideWhenUsed w:val="1"/>
    <w:rsid w:val="00A61803"/>
    <w:pPr>
      <w:spacing w:after="120"/>
    </w:pPr>
  </w:style>
  <w:style w:type="character" w:styleId="GvdeMetniChar" w:customStyle="1">
    <w:name w:val="Gövde Metni Char"/>
    <w:basedOn w:val="VarsaylanParagrafYazTipi"/>
    <w:link w:val="GvdeMetni"/>
    <w:uiPriority w:val="99"/>
    <w:semiHidden w:val="1"/>
    <w:rsid w:val="00A61803"/>
    <w:rPr>
      <w:rFonts w:ascii="Calibri" w:cs="Times New Roman" w:eastAsia="Calibri" w:hAnsi="Calibri"/>
    </w:rPr>
  </w:style>
  <w:style w:type="paragraph" w:styleId="GvdeMetniGirintisi">
    <w:name w:val="Body Text Indent"/>
    <w:basedOn w:val="Normal"/>
    <w:link w:val="GvdeMetniGirintisiChar"/>
    <w:uiPriority w:val="99"/>
    <w:semiHidden w:val="1"/>
    <w:unhideWhenUsed w:val="1"/>
    <w:rsid w:val="00A61803"/>
    <w:pPr>
      <w:spacing w:after="120"/>
      <w:ind w:left="283"/>
    </w:pPr>
  </w:style>
  <w:style w:type="character" w:styleId="GvdeMetniGirintisiChar" w:customStyle="1">
    <w:name w:val="Gövde Metni Girintisi Char"/>
    <w:basedOn w:val="VarsaylanParagrafYazTipi"/>
    <w:link w:val="GvdeMetniGirintisi"/>
    <w:uiPriority w:val="99"/>
    <w:semiHidden w:val="1"/>
    <w:rsid w:val="00A61803"/>
    <w:rPr>
      <w:rFonts w:ascii="Calibri" w:cs="Times New Roman" w:eastAsia="Calibri" w:hAnsi="Calibri"/>
    </w:rPr>
  </w:style>
  <w:style w:type="paragraph" w:styleId="stBilgi">
    <w:name w:val="header"/>
    <w:basedOn w:val="Normal"/>
    <w:link w:val="stBilgiChar"/>
    <w:uiPriority w:val="99"/>
    <w:unhideWhenUsed w:val="1"/>
    <w:rsid w:val="004E7EAB"/>
    <w:pPr>
      <w:tabs>
        <w:tab w:val="center" w:pos="4536"/>
        <w:tab w:val="right" w:pos="9072"/>
      </w:tabs>
      <w:spacing w:after="0" w:line="240" w:lineRule="auto"/>
    </w:pPr>
  </w:style>
  <w:style w:type="character" w:styleId="stBilgiChar" w:customStyle="1">
    <w:name w:val="Üst Bilgi Char"/>
    <w:basedOn w:val="VarsaylanParagrafYazTipi"/>
    <w:link w:val="stBilgi"/>
    <w:uiPriority w:val="99"/>
    <w:rsid w:val="004E7EAB"/>
    <w:rPr>
      <w:rFonts w:ascii="Calibri" w:cs="Times New Roman" w:eastAsia="Calibri" w:hAnsi="Calibri"/>
    </w:rPr>
  </w:style>
  <w:style w:type="paragraph" w:styleId="AltBilgi">
    <w:name w:val="footer"/>
    <w:basedOn w:val="Normal"/>
    <w:link w:val="AltBilgiChar"/>
    <w:uiPriority w:val="99"/>
    <w:unhideWhenUsed w:val="1"/>
    <w:rsid w:val="004E7EAB"/>
    <w:pPr>
      <w:tabs>
        <w:tab w:val="center" w:pos="4536"/>
        <w:tab w:val="right" w:pos="9072"/>
      </w:tabs>
      <w:spacing w:after="0" w:line="240" w:lineRule="auto"/>
    </w:pPr>
  </w:style>
  <w:style w:type="character" w:styleId="AltBilgiChar" w:customStyle="1">
    <w:name w:val="Alt Bilgi Char"/>
    <w:basedOn w:val="VarsaylanParagrafYazTipi"/>
    <w:link w:val="AltBilgi"/>
    <w:uiPriority w:val="99"/>
    <w:rsid w:val="004E7EAB"/>
    <w:rPr>
      <w:rFonts w:ascii="Calibri" w:cs="Times New Roman" w:eastAsia="Calibri" w:hAnsi="Calibri"/>
    </w:rPr>
  </w:style>
  <w:style w:type="table" w:styleId="TabloKlavuzu">
    <w:name w:val="Table Grid"/>
    <w:basedOn w:val="NormalTablo"/>
    <w:uiPriority w:val="39"/>
    <w:rsid w:val="004E7EAB"/>
    <w:pPr>
      <w:spacing w:after="0" w:line="240" w:lineRule="auto"/>
    </w:pPr>
    <w:rPr>
      <w:color w:val="595959" w:themeColor="text1" w:themeTint="0000A6"/>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oKlavuzu1" w:customStyle="1">
    <w:name w:val="Tablo Kılavuzu1"/>
    <w:basedOn w:val="NormalTablo"/>
    <w:next w:val="TabloKlavuzu"/>
    <w:uiPriority w:val="39"/>
    <w:rsid w:val="004E7EA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oKlavuzu2" w:customStyle="1">
    <w:name w:val="Tablo Kılavuzu2"/>
    <w:basedOn w:val="NormalTablo"/>
    <w:next w:val="TabloKlavuzu"/>
    <w:uiPriority w:val="39"/>
    <w:rsid w:val="00F4470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CD57B6"/>
    <w:pPr>
      <w:spacing w:after="100" w:afterAutospacing="1" w:before="100" w:beforeAutospacing="1" w:line="240" w:lineRule="auto"/>
    </w:pPr>
    <w:rPr>
      <w:rFonts w:ascii="Times New Roman" w:eastAsia="Times New Roman" w:hAnsi="Times New Roman"/>
      <w:sz w:val="24"/>
      <w:szCs w:val="24"/>
    </w:rPr>
  </w:style>
  <w:style w:type="paragraph" w:styleId="BalonMetni">
    <w:name w:val="Balloon Text"/>
    <w:basedOn w:val="Normal"/>
    <w:link w:val="BalonMetniChar"/>
    <w:uiPriority w:val="99"/>
    <w:semiHidden w:val="1"/>
    <w:unhideWhenUsed w:val="1"/>
    <w:rsid w:val="00DE01AC"/>
    <w:pPr>
      <w:spacing w:after="0" w:line="240" w:lineRule="auto"/>
    </w:pPr>
    <w:rPr>
      <w:rFonts w:ascii="Segoe UI" w:cs="Segoe UI" w:hAnsi="Segoe UI"/>
      <w:sz w:val="18"/>
      <w:szCs w:val="18"/>
    </w:rPr>
  </w:style>
  <w:style w:type="character" w:styleId="BalonMetniChar" w:customStyle="1">
    <w:name w:val="Balon Metni Char"/>
    <w:basedOn w:val="VarsaylanParagrafYazTipi"/>
    <w:link w:val="BalonMetni"/>
    <w:uiPriority w:val="99"/>
    <w:semiHidden w:val="1"/>
    <w:rsid w:val="00DE01AC"/>
    <w:rPr>
      <w:rFonts w:ascii="Segoe UI" w:cs="Segoe UI" w:eastAsia="Calibri" w:hAnsi="Segoe UI"/>
      <w:sz w:val="18"/>
      <w:szCs w:val="18"/>
    </w:rPr>
  </w:style>
  <w:style w:type="character" w:styleId="Gl">
    <w:name w:val="Strong"/>
    <w:basedOn w:val="VarsaylanParagrafYazTipi"/>
    <w:uiPriority w:val="22"/>
    <w:qFormat w:val="1"/>
    <w:rsid w:val="00232841"/>
    <w:rPr>
      <w:b w:val="1"/>
      <w:bCs w:val="1"/>
    </w:rPr>
  </w:style>
  <w:style w:type="table" w:styleId="TableGrid" w:customStyle="1">
    <w:name w:val="TableGrid"/>
    <w:rsid w:val="003975EC"/>
    <w:pPr>
      <w:spacing w:after="0" w:line="240" w:lineRule="auto"/>
    </w:pPr>
    <w:rPr>
      <w:rFonts w:eastAsiaTheme="minorEastAsia"/>
      <w:kern w:val="2"/>
    </w:rPr>
    <w:tblPr>
      <w:tblCellMar>
        <w:top w:w="0.0" w:type="dxa"/>
        <w:left w:w="0.0" w:type="dxa"/>
        <w:bottom w:w="0.0" w:type="dxa"/>
        <w:right w:w="0.0" w:type="dxa"/>
      </w:tblCellMar>
    </w:tblPr>
  </w:style>
  <w:style w:type="paragraph" w:styleId="Altyaz">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left w:w="115.0" w:type="dxa"/>
        <w:right w:w="115.0" w:type="dxa"/>
      </w:tblCellMar>
    </w:tblPr>
  </w:style>
  <w:style w:type="table" w:styleId="a0" w:customStyle="1">
    <w:basedOn w:val="TableNormal0"/>
    <w:pPr>
      <w:spacing w:after="0" w:line="240" w:lineRule="auto"/>
    </w:pPr>
    <w:tblPr>
      <w:tblStyleRowBandSize w:val="1"/>
      <w:tblStyleColBandSize w:val="1"/>
      <w:tblCellMar>
        <w:left w:w="23.0" w:type="dxa"/>
        <w:right w:w="29.0" w:type="dxa"/>
      </w:tblCellMar>
    </w:tblPr>
  </w:style>
  <w:style w:type="table" w:styleId="a1" w:customStyle="1">
    <w:basedOn w:val="TableNormal0"/>
    <w:pPr>
      <w:spacing w:after="0" w:line="240" w:lineRule="auto"/>
    </w:pPr>
    <w:rPr>
      <w:color w:val="595959"/>
    </w:rPr>
    <w:tblPr>
      <w:tblStyleRowBandSize w:val="1"/>
      <w:tblStyleColBandSize w:val="1"/>
      <w:tblCellMar>
        <w:left w:w="108.0" w:type="dxa"/>
        <w:right w:w="108.0" w:type="dxa"/>
      </w:tblCellMar>
    </w:tblPr>
  </w:style>
  <w:style w:type="table" w:styleId="a2" w:customStyle="1">
    <w:basedOn w:val="TableNormal0"/>
    <w:pPr>
      <w:spacing w:after="0" w:line="240" w:lineRule="auto"/>
    </w:pPr>
    <w:rPr>
      <w:color w:val="595959"/>
    </w:rPr>
    <w:tblPr>
      <w:tblStyleRowBandSize w:val="1"/>
      <w:tblStyleColBandSize w:val="1"/>
      <w:tblCellMar>
        <w:left w:w="108.0" w:type="dxa"/>
        <w:right w:w="108.0" w:type="dxa"/>
      </w:tblCellMar>
    </w:tblPr>
  </w:style>
  <w:style w:type="table" w:styleId="a3" w:customStyle="1">
    <w:basedOn w:val="TableNormal0"/>
    <w:pPr>
      <w:spacing w:after="0" w:line="240" w:lineRule="auto"/>
    </w:pPr>
    <w:rPr>
      <w:color w:val="595959"/>
    </w:rPr>
    <w:tblPr>
      <w:tblStyleRowBandSize w:val="1"/>
      <w:tblStyleColBandSize w:val="1"/>
      <w:tblCellMar>
        <w:left w:w="108.0" w:type="dxa"/>
        <w:right w:w="108.0" w:type="dxa"/>
      </w:tblCellMar>
    </w:tblPr>
  </w:style>
  <w:style w:type="table" w:styleId="a4" w:customStyle="1">
    <w:basedOn w:val="TableNormal0"/>
    <w:pPr>
      <w:spacing w:after="0" w:line="240" w:lineRule="auto"/>
    </w:pPr>
    <w:rPr>
      <w:color w:val="595959"/>
    </w:rPr>
    <w:tblPr>
      <w:tblStyleRowBandSize w:val="1"/>
      <w:tblStyleColBandSize w:val="1"/>
      <w:tblCellMar>
        <w:left w:w="108.0" w:type="dxa"/>
        <w:right w:w="108.0" w:type="dxa"/>
      </w:tblCellMar>
    </w:tblPr>
  </w:style>
  <w:style w:type="table" w:styleId="a5" w:customStyle="1">
    <w:basedOn w:val="TableNormal0"/>
    <w:pPr>
      <w:spacing w:after="0" w:line="240" w:lineRule="auto"/>
    </w:pPr>
    <w:rPr>
      <w:color w:val="595959"/>
    </w:rPr>
    <w:tblPr>
      <w:tblStyleRowBandSize w:val="1"/>
      <w:tblStyleColBandSize w:val="1"/>
      <w:tblCellMar>
        <w:left w:w="108.0" w:type="dxa"/>
        <w:right w:w="108.0" w:type="dxa"/>
      </w:tblCellMar>
    </w:tblPr>
  </w:style>
  <w:style w:type="table" w:styleId="a6" w:customStyle="1">
    <w:basedOn w:val="TableNormal0"/>
    <w:pPr>
      <w:spacing w:after="0" w:line="240" w:lineRule="auto"/>
    </w:pPr>
    <w:rPr>
      <w:color w:val="595959"/>
    </w:rPr>
    <w:tblPr>
      <w:tblStyleRowBandSize w:val="1"/>
      <w:tblStyleColBandSize w:val="1"/>
      <w:tblCellMar>
        <w:left w:w="108.0" w:type="dxa"/>
        <w:right w:w="108.0" w:type="dxa"/>
      </w:tblCellMar>
    </w:tblPr>
  </w:style>
  <w:style w:type="table" w:styleId="a7" w:customStyle="1">
    <w:basedOn w:val="TableNormal0"/>
    <w:pPr>
      <w:spacing w:after="0" w:line="240" w:lineRule="auto"/>
    </w:pPr>
    <w:rPr>
      <w:color w:val="595959"/>
    </w:rPr>
    <w:tblPr>
      <w:tblStyleRowBandSize w:val="1"/>
      <w:tblStyleColBandSize w:val="1"/>
      <w:tblCellMar>
        <w:left w:w="108.0" w:type="dxa"/>
        <w:right w:w="108.0" w:type="dxa"/>
      </w:tblCellMar>
    </w:tblPr>
  </w:style>
  <w:style w:type="table" w:styleId="a8" w:customStyle="1">
    <w:basedOn w:val="TableNormal0"/>
    <w:pPr>
      <w:spacing w:after="0" w:line="240" w:lineRule="auto"/>
    </w:pPr>
    <w:rPr>
      <w:color w:val="595959"/>
    </w:rPr>
    <w:tblPr>
      <w:tblStyleRowBandSize w:val="1"/>
      <w:tblStyleColBandSize w:val="1"/>
      <w:tblCellMar>
        <w:left w:w="108.0" w:type="dxa"/>
        <w:right w:w="108.0" w:type="dxa"/>
      </w:tblCellMar>
    </w:tblPr>
  </w:style>
  <w:style w:type="paragraph" w:styleId="cvgsua" w:customStyle="1">
    <w:name w:val="cvgsua"/>
    <w:basedOn w:val="Normal"/>
    <w:rsid w:val="000A5A95"/>
    <w:pPr>
      <w:spacing w:after="100" w:afterAutospacing="1" w:before="100" w:beforeAutospacing="1" w:line="240" w:lineRule="auto"/>
    </w:pPr>
    <w:rPr>
      <w:rFonts w:ascii="Times New Roman" w:eastAsia="Times New Roman" w:hAnsi="Times New Roman"/>
      <w:sz w:val="24"/>
      <w:szCs w:val="24"/>
    </w:rPr>
  </w:style>
  <w:style w:type="character" w:styleId="oypena" w:customStyle="1">
    <w:name w:val="oypena"/>
    <w:basedOn w:val="VarsaylanParagrafYazTipi"/>
    <w:rsid w:val="000A5A9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595959"/>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color w:val="595959"/>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color w:val="595959"/>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color w:val="595959"/>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color w:val="595959"/>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4c/dua2CL2IZAM9QdPsL0YXgpg==">CgMxLjAyCWguMWZvYjl0ZTgAciExQVVBT1dHblIyY3ZXTEZWZTBXeUhGRXlhSEI2cFJoSEE=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2024-02-28T08:23:00Z</dcterms:created>
  <dc:creator>barış cihan</dc:creator>
</cp:coreProperties>
</file>